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58" w:rsidRDefault="00C61358" w:rsidP="00C61358">
      <w:pPr>
        <w:pStyle w:val="1"/>
        <w:numPr>
          <w:ilvl w:val="0"/>
          <w:numId w:val="0"/>
        </w:numPr>
      </w:pPr>
      <w:bookmarkStart w:id="0" w:name="_Toc116382763"/>
      <w:r>
        <w:t xml:space="preserve">Приложение 2. </w:t>
      </w:r>
      <w:r w:rsidR="006C45D8">
        <w:t>Эк</w:t>
      </w:r>
      <w:r>
        <w:t>спертиз</w:t>
      </w:r>
      <w:r w:rsidR="006C45D8">
        <w:t>а</w:t>
      </w:r>
      <w:bookmarkStart w:id="1" w:name="_GoBack"/>
      <w:bookmarkEnd w:id="1"/>
      <w:r>
        <w:t xml:space="preserve"> Среднесрочной</w:t>
      </w:r>
      <w:r w:rsidRPr="00F45FD5">
        <w:rPr>
          <w:spacing w:val="-4"/>
        </w:rPr>
        <w:t xml:space="preserve"> </w:t>
      </w:r>
      <w:r>
        <w:t>программа развития</w:t>
      </w:r>
      <w:bookmarkEnd w:id="0"/>
    </w:p>
    <w:tbl>
      <w:tblPr>
        <w:tblStyle w:val="TableNormal"/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2"/>
        <w:gridCol w:w="817"/>
        <w:gridCol w:w="812"/>
        <w:gridCol w:w="817"/>
        <w:gridCol w:w="2363"/>
      </w:tblGrid>
      <w:tr w:rsidR="00C61358" w:rsidRPr="00F45FD5" w:rsidTr="00E65B75">
        <w:trPr>
          <w:trHeight w:val="292"/>
          <w:jc w:val="center"/>
        </w:trPr>
        <w:tc>
          <w:tcPr>
            <w:tcW w:w="4111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r w:rsidRPr="00F45FD5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C61358" w:rsidRPr="00F45FD5" w:rsidTr="00E65B75">
        <w:trPr>
          <w:trHeight w:val="877"/>
          <w:jc w:val="center"/>
        </w:trPr>
        <w:tc>
          <w:tcPr>
            <w:tcW w:w="4111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причинами</w:t>
            </w:r>
            <w:r w:rsidRPr="00F45FD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возникновения выбранных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27261C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63" w:type="dxa"/>
          </w:tcPr>
          <w:p w:rsidR="0027261C" w:rsidRDefault="0027261C" w:rsidP="0027261C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27261C">
              <w:rPr>
                <w:rFonts w:asciiTheme="minorHAnsi" w:hAnsiTheme="minorHAnsi"/>
                <w:lang w:val="ru-RU"/>
              </w:rPr>
              <w:t xml:space="preserve">Задачи соотносятся </w:t>
            </w:r>
          </w:p>
          <w:p w:rsidR="0027261C" w:rsidRPr="0027261C" w:rsidRDefault="0027261C" w:rsidP="0027261C">
            <w:pPr>
              <w:pStyle w:val="TableParagrap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с </w:t>
            </w:r>
            <w:r w:rsidRPr="0027261C">
              <w:rPr>
                <w:rFonts w:asciiTheme="minorHAnsi" w:hAnsiTheme="minorHAnsi"/>
                <w:lang w:val="ru-RU"/>
              </w:rPr>
              <w:t>причинами возникновения выбранных рисков.</w:t>
            </w:r>
          </w:p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27261C" w:rsidRPr="00F45FD5" w:rsidTr="00E65B75">
        <w:trPr>
          <w:trHeight w:val="876"/>
          <w:jc w:val="center"/>
        </w:trPr>
        <w:tc>
          <w:tcPr>
            <w:tcW w:w="4111" w:type="dxa"/>
          </w:tcPr>
          <w:p w:rsidR="0027261C" w:rsidRPr="00F45FD5" w:rsidRDefault="0027261C" w:rsidP="0027261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 соотносятся с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формулировкой</w:t>
            </w:r>
            <w:r w:rsidRPr="00F45FD5">
              <w:rPr>
                <w:rFonts w:asciiTheme="minorHAnsi" w:hAnsiTheme="minorHAns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цели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12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63" w:type="dxa"/>
          </w:tcPr>
          <w:p w:rsidR="0027261C" w:rsidRPr="0027261C" w:rsidRDefault="0027261C" w:rsidP="0027261C">
            <w:pPr>
              <w:pStyle w:val="TableParagraph"/>
              <w:jc w:val="both"/>
              <w:rPr>
                <w:rFonts w:asciiTheme="minorHAnsi" w:hAnsiTheme="minorHAnsi"/>
              </w:rPr>
            </w:pPr>
            <w:proofErr w:type="spellStart"/>
            <w:r w:rsidRPr="0027261C">
              <w:rPr>
                <w:rFonts w:asciiTheme="minorHAnsi" w:hAnsiTheme="minorHAnsi"/>
              </w:rPr>
              <w:t>Задачи</w:t>
            </w:r>
            <w:proofErr w:type="spellEnd"/>
            <w:r w:rsidRPr="0027261C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27261C">
              <w:rPr>
                <w:rFonts w:asciiTheme="minorHAnsi" w:hAnsiTheme="minorHAnsi"/>
              </w:rPr>
              <w:t>сформулированы</w:t>
            </w:r>
            <w:proofErr w:type="spellEnd"/>
            <w:r w:rsidRPr="0027261C">
              <w:rPr>
                <w:rFonts w:asciiTheme="minorHAnsi" w:hAnsiTheme="minorHAnsi"/>
              </w:rPr>
              <w:t xml:space="preserve">  </w:t>
            </w:r>
            <w:proofErr w:type="spellStart"/>
            <w:r w:rsidRPr="0027261C">
              <w:rPr>
                <w:rFonts w:asciiTheme="minorHAnsi" w:hAnsiTheme="minorHAnsi"/>
              </w:rPr>
              <w:t>конкретно</w:t>
            </w:r>
            <w:proofErr w:type="spellEnd"/>
            <w:proofErr w:type="gramEnd"/>
          </w:p>
          <w:p w:rsidR="0027261C" w:rsidRPr="00F45FD5" w:rsidRDefault="0027261C" w:rsidP="0027261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27261C" w:rsidRPr="00F45FD5" w:rsidTr="00E65B75">
        <w:trPr>
          <w:trHeight w:val="880"/>
          <w:jc w:val="center"/>
        </w:trPr>
        <w:tc>
          <w:tcPr>
            <w:tcW w:w="4111" w:type="dxa"/>
          </w:tcPr>
          <w:p w:rsidR="0027261C" w:rsidRPr="00F45FD5" w:rsidRDefault="0027261C" w:rsidP="0027261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Указанных задач достаточно для перехода школы в эффективный режим работы</w:t>
            </w:r>
          </w:p>
        </w:tc>
        <w:tc>
          <w:tcPr>
            <w:tcW w:w="812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27261C" w:rsidRPr="00F45FD5" w:rsidRDefault="0027261C" w:rsidP="0027261C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63" w:type="dxa"/>
          </w:tcPr>
          <w:p w:rsidR="0027261C" w:rsidRPr="0027261C" w:rsidRDefault="0027261C" w:rsidP="0027261C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27261C">
              <w:rPr>
                <w:rFonts w:asciiTheme="minorHAnsi" w:hAnsiTheme="minorHAnsi"/>
                <w:lang w:val="ru-RU"/>
              </w:rPr>
              <w:t xml:space="preserve">Решение задач позволит создать условия для </w:t>
            </w:r>
            <w:proofErr w:type="gramStart"/>
            <w:r w:rsidRPr="0027261C">
              <w:rPr>
                <w:rFonts w:asciiTheme="minorHAnsi" w:hAnsiTheme="minorHAnsi"/>
                <w:lang w:val="ru-RU"/>
              </w:rPr>
              <w:t>положительных  изменений</w:t>
            </w:r>
            <w:proofErr w:type="gramEnd"/>
            <w:r w:rsidRPr="0027261C">
              <w:rPr>
                <w:rFonts w:asciiTheme="minorHAnsi" w:hAnsiTheme="minorHAnsi"/>
                <w:lang w:val="ru-RU"/>
              </w:rPr>
              <w:t>.</w:t>
            </w:r>
          </w:p>
          <w:p w:rsidR="0027261C" w:rsidRPr="00F45FD5" w:rsidRDefault="0027261C" w:rsidP="0027261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C61358" w:rsidRPr="000F620E" w:rsidRDefault="00C61358" w:rsidP="00C61358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69"/>
      </w:tblGrid>
      <w:tr w:rsidR="0027261C" w:rsidRPr="00F45FD5" w:rsidTr="00107EAF">
        <w:trPr>
          <w:trHeight w:val="2198"/>
        </w:trPr>
        <w:tc>
          <w:tcPr>
            <w:tcW w:w="3969" w:type="dxa"/>
          </w:tcPr>
          <w:p w:rsidR="0027261C" w:rsidRPr="00F45FD5" w:rsidRDefault="0027261C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 какие сильные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СПР вы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9" w:type="dxa"/>
          </w:tcPr>
          <w:p w:rsidR="0027261C" w:rsidRPr="006C45D8" w:rsidRDefault="0027261C" w:rsidP="0027261C">
            <w:pPr>
              <w:pStyle w:val="TableParagraph"/>
              <w:spacing w:before="120" w:after="120"/>
              <w:jc w:val="both"/>
              <w:rPr>
                <w:rFonts w:asciiTheme="minorHAnsi" w:hAnsiTheme="minorHAnsi"/>
                <w:lang w:val="ru-RU"/>
              </w:rPr>
            </w:pPr>
            <w:r w:rsidRPr="006C45D8">
              <w:rPr>
                <w:rFonts w:asciiTheme="minorHAnsi" w:hAnsiTheme="minorHAnsi"/>
                <w:bCs/>
                <w:lang w:val="ru-RU"/>
              </w:rPr>
              <w:t>Указаны целевые индикаторы программы.</w:t>
            </w:r>
          </w:p>
          <w:p w:rsidR="0027261C" w:rsidRPr="00F45FD5" w:rsidRDefault="0027261C" w:rsidP="0027261C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27261C">
              <w:rPr>
                <w:rFonts w:asciiTheme="minorHAnsi" w:hAnsiTheme="minorHAnsi" w:cs="Times New Roman"/>
                <w:bCs/>
                <w:sz w:val="24"/>
                <w:szCs w:val="24"/>
                <w:lang w:val="ru-RU"/>
              </w:rPr>
              <w:t>Даны конкретные</w:t>
            </w:r>
          </w:p>
        </w:tc>
      </w:tr>
      <w:tr w:rsidR="0027261C" w:rsidRPr="00F45FD5" w:rsidTr="00C121C6">
        <w:trPr>
          <w:trHeight w:val="2466"/>
        </w:trPr>
        <w:tc>
          <w:tcPr>
            <w:tcW w:w="3969" w:type="dxa"/>
          </w:tcPr>
          <w:p w:rsidR="0027261C" w:rsidRPr="00F45FD5" w:rsidRDefault="0027261C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F45FD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:rsidR="0027261C" w:rsidRPr="00F45FD5" w:rsidRDefault="0027261C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669" w:type="dxa"/>
          </w:tcPr>
          <w:p w:rsidR="0027261C" w:rsidRPr="0027261C" w:rsidRDefault="0027261C" w:rsidP="0027261C">
            <w:pPr>
              <w:pStyle w:val="TableParagraph"/>
              <w:spacing w:before="120" w:after="120"/>
              <w:jc w:val="both"/>
              <w:rPr>
                <w:rFonts w:asciiTheme="minorHAnsi" w:hAnsiTheme="minorHAnsi"/>
                <w:lang w:val="ru-RU"/>
              </w:rPr>
            </w:pPr>
            <w:r w:rsidRPr="0027261C">
              <w:rPr>
                <w:rFonts w:asciiTheme="minorHAnsi" w:hAnsiTheme="minorHAnsi"/>
                <w:lang w:val="ru-RU"/>
              </w:rPr>
              <w:t xml:space="preserve">Уточнить формулировки, </w:t>
            </w:r>
            <w:proofErr w:type="gramStart"/>
            <w:r w:rsidRPr="0027261C">
              <w:rPr>
                <w:rFonts w:asciiTheme="minorHAnsi" w:hAnsiTheme="minorHAnsi"/>
                <w:lang w:val="ru-RU"/>
              </w:rPr>
              <w:t>например,  «</w:t>
            </w:r>
            <w:proofErr w:type="gramEnd"/>
            <w:r w:rsidRPr="0027261C">
              <w:rPr>
                <w:rFonts w:asciiTheme="minorHAnsi" w:hAnsiTheme="minorHAnsi"/>
                <w:lang w:val="ru-RU"/>
              </w:rPr>
              <w:t>мониторинг образовательной среды».</w:t>
            </w:r>
          </w:p>
          <w:p w:rsidR="0027261C" w:rsidRPr="00F45FD5" w:rsidRDefault="0027261C" w:rsidP="0027261C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27261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 завышены</w:t>
            </w:r>
          </w:p>
        </w:tc>
      </w:tr>
    </w:tbl>
    <w:p w:rsidR="00C61358" w:rsidRPr="000F620E" w:rsidRDefault="00C61358" w:rsidP="00C6135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206"/>
      </w:tblGrid>
      <w:tr w:rsidR="00C61358" w:rsidRPr="00F45FD5" w:rsidTr="00C61358">
        <w:trPr>
          <w:trHeight w:val="292"/>
          <w:jc w:val="center"/>
        </w:trPr>
        <w:tc>
          <w:tcPr>
            <w:tcW w:w="2575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06" w:type="dxa"/>
            <w:shd w:val="clear" w:color="auto" w:fill="auto"/>
          </w:tcPr>
          <w:p w:rsidR="00C61358" w:rsidRPr="00DF0872" w:rsidRDefault="00C61358" w:rsidP="00E65B75">
            <w:pPr>
              <w:pStyle w:val="TableParagraph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r w:rsidRPr="00F45FD5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r w:rsidRPr="00F45FD5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</w:p>
        </w:tc>
      </w:tr>
      <w:tr w:rsidR="00C61358" w:rsidRPr="00F45FD5" w:rsidTr="00C61358">
        <w:trPr>
          <w:trHeight w:val="1169"/>
          <w:jc w:val="center"/>
        </w:trPr>
        <w:tc>
          <w:tcPr>
            <w:tcW w:w="2575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proofErr w:type="spellEnd"/>
            <w:r w:rsidRPr="00F45FD5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206" w:type="dxa"/>
          </w:tcPr>
          <w:p w:rsidR="00C61358" w:rsidRPr="00F45FD5" w:rsidRDefault="00C61358" w:rsidP="0027261C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разработанным планам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>и по итогам поделиться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 и опытом реализации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представленных</w:t>
            </w:r>
            <w:r w:rsidRPr="00F45FD5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</w:t>
            </w:r>
          </w:p>
        </w:tc>
      </w:tr>
    </w:tbl>
    <w:p w:rsidR="00B6471F" w:rsidRDefault="00B6471F"/>
    <w:sectPr w:rsidR="00B6471F" w:rsidSect="00C6135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8"/>
    <w:rsid w:val="0027261C"/>
    <w:rsid w:val="006A70E7"/>
    <w:rsid w:val="006C45D8"/>
    <w:rsid w:val="00B6471F"/>
    <w:rsid w:val="00C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190A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4</cp:revision>
  <dcterms:created xsi:type="dcterms:W3CDTF">2022-10-25T10:46:00Z</dcterms:created>
  <dcterms:modified xsi:type="dcterms:W3CDTF">2022-10-25T12:32:00Z</dcterms:modified>
</cp:coreProperties>
</file>